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E6" w:rsidRDefault="003F51E6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3F51E6">
        <w:rPr>
          <w:rFonts w:ascii="Roboto" w:hAnsi="Roboto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3963490"/>
            <wp:effectExtent l="0" t="0" r="3175" b="0"/>
            <wp:docPr id="1" name="Рисунок 1" descr="C:\Users\kosticina\Desktop\jU9p5_OWF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jU9p5_OWFQ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440" w:rsidRDefault="003F51E6">
      <w:r>
        <w:rPr>
          <w:rFonts w:ascii="Roboto" w:hAnsi="Roboto"/>
          <w:color w:val="000000"/>
          <w:sz w:val="20"/>
          <w:szCs w:val="20"/>
          <w:shd w:val="clear" w:color="auto" w:fill="FFFFFF"/>
        </w:rPr>
        <w:t>Не болит – не значит здоров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Даже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если ты чувствуешь себя здоровым, приходи в свою поликлинику на диспансеризацию. Хронические неинфекционные заболевания не столь опасны на ранней стадии, но тяжело поддаются лечению в запущенной форме.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Уже на первом этапе диспансеризации можно сдать анализ для выявления рака толстого кишечника и прямой кишки, измеряется внутриглазное давление, проводится осмотр гинекологом и берут мазок с шейки матки на выявление злокачественного новообразования. Для женщин в рамках диспансеризации проводится маммография молочных желез (в возрасте 40-75 лет), для мужчин - определение простат-специфического антигена в крови на выявление рака предстательной железы. Флюорография, электрокардиограмма, в возрасте 45 лет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эзофагодуоденоскопия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на выявление рака пищевода, желудка и двенадцатиперстной кишки…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Записаться на диспансеризацию можно через единый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колл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-центр вашего медучреждения, в регистратуре поликлиники или на портале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Диспансеризация – доступно, бесплатно, эффективно!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B1"/>
    <w:rsid w:val="003F51E6"/>
    <w:rsid w:val="006E3440"/>
    <w:rsid w:val="00CC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054E0-9B2E-4DF0-AA26-B728D502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2023-01-19T11:32:00Z</dcterms:created>
  <dcterms:modified xsi:type="dcterms:W3CDTF">2023-01-19T11:32:00Z</dcterms:modified>
</cp:coreProperties>
</file>